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5" w:rsidRDefault="00E81F95" w:rsidP="00E81F95">
      <w:pPr>
        <w:rPr>
          <w:rFonts w:hint="eastAsia"/>
        </w:rPr>
      </w:pPr>
      <w:r w:rsidRPr="00E81F95">
        <w:rPr>
          <w:rFonts w:hint="eastAsia"/>
        </w:rPr>
        <w:t>中国新闻奖新闻期刊参评作品推荐表</w:t>
      </w:r>
    </w:p>
    <w:p w:rsidR="0076037E" w:rsidRPr="00840C32" w:rsidRDefault="0076037E" w:rsidP="00E81F95"/>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2615"/>
        <w:gridCol w:w="1738"/>
        <w:gridCol w:w="3866"/>
      </w:tblGrid>
      <w:tr w:rsidR="00C45DF3" w:rsidRPr="00E81F95" w:rsidTr="00840C32">
        <w:trPr>
          <w:cantSplit/>
          <w:trHeight w:hRule="exact" w:val="552"/>
          <w:jc w:val="center"/>
        </w:trPr>
        <w:tc>
          <w:tcPr>
            <w:tcW w:w="1799" w:type="dxa"/>
            <w:vMerge w:val="restart"/>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作品标题</w:t>
            </w:r>
          </w:p>
        </w:tc>
        <w:tc>
          <w:tcPr>
            <w:tcW w:w="2615" w:type="dxa"/>
            <w:vMerge w:val="restart"/>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人的发展是教育数字化转型的逻辑起点</w:t>
            </w:r>
          </w:p>
        </w:tc>
        <w:tc>
          <w:tcPr>
            <w:tcW w:w="1738"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参评项目</w:t>
            </w:r>
          </w:p>
        </w:tc>
        <w:tc>
          <w:tcPr>
            <w:tcW w:w="3866"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评论</w:t>
            </w:r>
          </w:p>
        </w:tc>
      </w:tr>
      <w:tr w:rsidR="00C45DF3" w:rsidRPr="00E81F95" w:rsidTr="00840C32">
        <w:trPr>
          <w:cantSplit/>
          <w:trHeight w:hRule="exact" w:val="560"/>
          <w:jc w:val="center"/>
        </w:trPr>
        <w:tc>
          <w:tcPr>
            <w:tcW w:w="1799" w:type="dxa"/>
            <w:vMerge/>
            <w:vAlign w:val="center"/>
          </w:tcPr>
          <w:p w:rsidR="00C45DF3" w:rsidRPr="00E81F95" w:rsidRDefault="00C45DF3" w:rsidP="00E81F95">
            <w:pPr>
              <w:rPr>
                <w:rFonts w:ascii="仿宋_GB2312" w:eastAsia="仿宋_GB2312" w:hint="eastAsia"/>
                <w:sz w:val="24"/>
                <w:szCs w:val="24"/>
              </w:rPr>
            </w:pPr>
          </w:p>
        </w:tc>
        <w:tc>
          <w:tcPr>
            <w:tcW w:w="2615" w:type="dxa"/>
            <w:vMerge/>
            <w:vAlign w:val="center"/>
          </w:tcPr>
          <w:p w:rsidR="00C45DF3" w:rsidRPr="00E81F95" w:rsidRDefault="00C45DF3" w:rsidP="00E81F95">
            <w:pPr>
              <w:rPr>
                <w:rFonts w:ascii="仿宋_GB2312" w:eastAsia="仿宋_GB2312" w:hint="eastAsia"/>
                <w:sz w:val="24"/>
                <w:szCs w:val="24"/>
              </w:rPr>
            </w:pPr>
          </w:p>
        </w:tc>
        <w:tc>
          <w:tcPr>
            <w:tcW w:w="1738"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体裁</w:t>
            </w:r>
          </w:p>
        </w:tc>
        <w:tc>
          <w:tcPr>
            <w:tcW w:w="3866" w:type="dxa"/>
            <w:vAlign w:val="center"/>
          </w:tcPr>
          <w:p w:rsidR="00C45DF3" w:rsidRPr="00E81F95" w:rsidRDefault="00C45DF3" w:rsidP="00E81F95">
            <w:pPr>
              <w:rPr>
                <w:rFonts w:ascii="仿宋_GB2312" w:eastAsia="仿宋_GB2312" w:hint="eastAsia"/>
                <w:sz w:val="24"/>
                <w:szCs w:val="24"/>
              </w:rPr>
            </w:pPr>
          </w:p>
        </w:tc>
      </w:tr>
      <w:tr w:rsidR="00C45DF3" w:rsidRPr="00E81F95" w:rsidTr="00840C32">
        <w:trPr>
          <w:cantSplit/>
          <w:trHeight w:hRule="exact" w:val="568"/>
          <w:jc w:val="center"/>
        </w:trPr>
        <w:tc>
          <w:tcPr>
            <w:tcW w:w="1799" w:type="dxa"/>
            <w:vMerge/>
            <w:vAlign w:val="center"/>
          </w:tcPr>
          <w:p w:rsidR="00C45DF3" w:rsidRPr="00E81F95" w:rsidRDefault="00C45DF3" w:rsidP="00E81F95">
            <w:pPr>
              <w:rPr>
                <w:rFonts w:ascii="仿宋_GB2312" w:eastAsia="仿宋_GB2312" w:hint="eastAsia"/>
                <w:sz w:val="24"/>
                <w:szCs w:val="24"/>
              </w:rPr>
            </w:pPr>
          </w:p>
        </w:tc>
        <w:tc>
          <w:tcPr>
            <w:tcW w:w="2615" w:type="dxa"/>
            <w:vMerge/>
            <w:vAlign w:val="center"/>
          </w:tcPr>
          <w:p w:rsidR="00C45DF3" w:rsidRPr="00E81F95" w:rsidRDefault="00C45DF3" w:rsidP="00E81F95">
            <w:pPr>
              <w:rPr>
                <w:rFonts w:ascii="仿宋_GB2312" w:eastAsia="仿宋_GB2312" w:hint="eastAsia"/>
                <w:sz w:val="24"/>
                <w:szCs w:val="24"/>
              </w:rPr>
            </w:pPr>
          </w:p>
        </w:tc>
        <w:tc>
          <w:tcPr>
            <w:tcW w:w="1738"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语种</w:t>
            </w:r>
          </w:p>
        </w:tc>
        <w:tc>
          <w:tcPr>
            <w:tcW w:w="3866" w:type="dxa"/>
            <w:vAlign w:val="center"/>
          </w:tcPr>
          <w:p w:rsidR="00C45DF3" w:rsidRPr="00E81F95" w:rsidRDefault="00C45DF3" w:rsidP="00E81F95">
            <w:pPr>
              <w:rPr>
                <w:rFonts w:ascii="仿宋_GB2312" w:eastAsia="仿宋_GB2312" w:hint="eastAsia"/>
                <w:sz w:val="24"/>
                <w:szCs w:val="24"/>
              </w:rPr>
            </w:pPr>
          </w:p>
        </w:tc>
      </w:tr>
      <w:tr w:rsidR="00C45DF3" w:rsidRPr="00E81F95" w:rsidTr="00840C32">
        <w:trPr>
          <w:trHeight w:val="542"/>
          <w:jc w:val="center"/>
        </w:trPr>
        <w:tc>
          <w:tcPr>
            <w:tcW w:w="1799"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作  者</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（主创人员）</w:t>
            </w:r>
          </w:p>
        </w:tc>
        <w:tc>
          <w:tcPr>
            <w:tcW w:w="2615"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谢冰滨</w:t>
            </w:r>
          </w:p>
        </w:tc>
        <w:tc>
          <w:tcPr>
            <w:tcW w:w="1738" w:type="dxa"/>
            <w:vAlign w:val="center"/>
          </w:tcPr>
          <w:p w:rsidR="00C45DF3" w:rsidRPr="00E81F95" w:rsidRDefault="003B17A5" w:rsidP="00E81F95">
            <w:pPr>
              <w:rPr>
                <w:rFonts w:ascii="仿宋_GB2312" w:eastAsia="仿宋_GB2312" w:hAnsi="仿宋" w:hint="eastAsia"/>
                <w:w w:val="95"/>
                <w:sz w:val="24"/>
                <w:szCs w:val="24"/>
              </w:rPr>
            </w:pPr>
            <w:r w:rsidRPr="00E81F95">
              <w:rPr>
                <w:rFonts w:ascii="仿宋_GB2312" w:eastAsia="仿宋_GB2312" w:hint="eastAsia"/>
                <w:sz w:val="24"/>
                <w:szCs w:val="24"/>
              </w:rPr>
              <w:t>编辑</w:t>
            </w:r>
          </w:p>
        </w:tc>
        <w:tc>
          <w:tcPr>
            <w:tcW w:w="3866"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谢冰滨</w:t>
            </w:r>
          </w:p>
        </w:tc>
      </w:tr>
      <w:tr w:rsidR="00C45DF3" w:rsidRPr="00E81F95" w:rsidTr="00840C32">
        <w:trPr>
          <w:cantSplit/>
          <w:trHeight w:val="666"/>
          <w:jc w:val="center"/>
        </w:trPr>
        <w:tc>
          <w:tcPr>
            <w:tcW w:w="1799"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原创单位</w:t>
            </w:r>
          </w:p>
        </w:tc>
        <w:tc>
          <w:tcPr>
            <w:tcW w:w="2615"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福建教育杂志社</w:t>
            </w:r>
          </w:p>
        </w:tc>
        <w:tc>
          <w:tcPr>
            <w:tcW w:w="1738" w:type="dxa"/>
            <w:vAlign w:val="center"/>
          </w:tcPr>
          <w:p w:rsidR="00C45DF3" w:rsidRPr="00E81F95" w:rsidRDefault="003B17A5" w:rsidP="00E81F95">
            <w:pPr>
              <w:rPr>
                <w:rFonts w:ascii="仿宋_GB2312" w:eastAsia="仿宋_GB2312" w:hAnsi="仿宋" w:hint="eastAsia"/>
                <w:sz w:val="24"/>
                <w:szCs w:val="24"/>
                <w:highlight w:val="green"/>
              </w:rPr>
            </w:pPr>
            <w:r w:rsidRPr="00E81F95">
              <w:rPr>
                <w:rFonts w:ascii="仿宋_GB2312" w:eastAsia="仿宋_GB2312" w:hint="eastAsia"/>
                <w:sz w:val="24"/>
                <w:szCs w:val="24"/>
              </w:rPr>
              <w:t>刊播单位</w:t>
            </w:r>
          </w:p>
        </w:tc>
        <w:tc>
          <w:tcPr>
            <w:tcW w:w="3866"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福建教育杂志社</w:t>
            </w:r>
          </w:p>
        </w:tc>
      </w:tr>
      <w:tr w:rsidR="00C45DF3" w:rsidRPr="00E81F95" w:rsidTr="00840C32">
        <w:trPr>
          <w:cantSplit/>
          <w:trHeight w:hRule="exact" w:val="723"/>
          <w:jc w:val="center"/>
        </w:trPr>
        <w:tc>
          <w:tcPr>
            <w:tcW w:w="1799"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年度刊期</w:t>
            </w:r>
          </w:p>
        </w:tc>
        <w:tc>
          <w:tcPr>
            <w:tcW w:w="2615"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《福建教育》2023年第18期</w:t>
            </w:r>
          </w:p>
        </w:tc>
        <w:tc>
          <w:tcPr>
            <w:tcW w:w="1738" w:type="dxa"/>
            <w:vAlign w:val="center"/>
          </w:tcPr>
          <w:p w:rsidR="00C45DF3" w:rsidRPr="00E81F95" w:rsidRDefault="003B17A5" w:rsidP="00E81F95">
            <w:pPr>
              <w:rPr>
                <w:rFonts w:ascii="仿宋_GB2312" w:eastAsia="仿宋_GB2312" w:hAnsi="仿宋" w:hint="eastAsia"/>
                <w:sz w:val="24"/>
                <w:szCs w:val="24"/>
              </w:rPr>
            </w:pPr>
            <w:r w:rsidRPr="00E81F95">
              <w:rPr>
                <w:rFonts w:ascii="仿宋_GB2312" w:eastAsia="仿宋_GB2312" w:hint="eastAsia"/>
                <w:sz w:val="24"/>
                <w:szCs w:val="24"/>
              </w:rPr>
              <w:t>刊播日期</w:t>
            </w:r>
          </w:p>
        </w:tc>
        <w:tc>
          <w:tcPr>
            <w:tcW w:w="3866" w:type="dxa"/>
            <w:vAlign w:val="center"/>
          </w:tcPr>
          <w:p w:rsidR="00C45DF3" w:rsidRPr="00E81F95" w:rsidRDefault="003B17A5" w:rsidP="00E81F95">
            <w:pPr>
              <w:rPr>
                <w:rFonts w:ascii="仿宋_GB2312" w:eastAsia="仿宋_GB2312" w:hint="eastAsia"/>
                <w:color w:val="000000"/>
                <w:sz w:val="24"/>
                <w:szCs w:val="24"/>
              </w:rPr>
            </w:pPr>
            <w:r w:rsidRPr="00E81F95">
              <w:rPr>
                <w:rFonts w:ascii="仿宋_GB2312" w:eastAsia="仿宋_GB2312" w:hint="eastAsia"/>
                <w:sz w:val="24"/>
                <w:szCs w:val="24"/>
              </w:rPr>
              <w:t>2023-05-01</w:t>
            </w:r>
          </w:p>
        </w:tc>
      </w:tr>
      <w:tr w:rsidR="00C45DF3" w:rsidRPr="00E81F95" w:rsidTr="00840C32">
        <w:trPr>
          <w:cantSplit/>
          <w:trHeight w:hRule="exact" w:val="706"/>
          <w:jc w:val="center"/>
        </w:trPr>
        <w:tc>
          <w:tcPr>
            <w:tcW w:w="1799" w:type="dxa"/>
            <w:vAlign w:val="center"/>
          </w:tcPr>
          <w:p w:rsidR="00C45DF3" w:rsidRPr="00E81F95" w:rsidRDefault="003B17A5" w:rsidP="00E81F95">
            <w:pPr>
              <w:rPr>
                <w:rFonts w:ascii="仿宋_GB2312" w:eastAsia="仿宋_GB2312" w:hAnsi="仿宋" w:hint="eastAsia"/>
                <w:sz w:val="24"/>
                <w:szCs w:val="24"/>
              </w:rPr>
            </w:pPr>
            <w:r w:rsidRPr="00E81F95">
              <w:rPr>
                <w:rFonts w:ascii="仿宋_GB2312" w:eastAsia="仿宋_GB2312" w:hint="eastAsia"/>
                <w:sz w:val="24"/>
                <w:szCs w:val="24"/>
              </w:rPr>
              <w:t>新媒体作品填报网址</w:t>
            </w:r>
          </w:p>
        </w:tc>
        <w:tc>
          <w:tcPr>
            <w:tcW w:w="2615" w:type="dxa"/>
            <w:vAlign w:val="center"/>
          </w:tcPr>
          <w:p w:rsidR="00C45DF3" w:rsidRPr="00E81F95" w:rsidRDefault="00C45DF3" w:rsidP="00E81F95">
            <w:pPr>
              <w:rPr>
                <w:rFonts w:ascii="仿宋_GB2312" w:eastAsia="仿宋_GB2312" w:hint="eastAsia"/>
                <w:sz w:val="24"/>
                <w:szCs w:val="24"/>
              </w:rPr>
            </w:pPr>
          </w:p>
        </w:tc>
        <w:tc>
          <w:tcPr>
            <w:tcW w:w="1738"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字数/时长</w:t>
            </w:r>
          </w:p>
        </w:tc>
        <w:tc>
          <w:tcPr>
            <w:tcW w:w="3866"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1019字</w:t>
            </w:r>
          </w:p>
        </w:tc>
      </w:tr>
      <w:tr w:rsidR="00C45DF3" w:rsidRPr="00E81F95" w:rsidTr="008A1CA5">
        <w:trPr>
          <w:cantSplit/>
          <w:trHeight w:val="3401"/>
          <w:jc w:val="center"/>
        </w:trPr>
        <w:tc>
          <w:tcPr>
            <w:tcW w:w="1799"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 xml:space="preserve">  </w:t>
            </w:r>
            <w:r w:rsidRPr="00E81F95">
              <w:rPr>
                <w:rFonts w:ascii="仿宋_GB2312" w:eastAsia="宋体" w:hAnsi="宋体" w:cs="宋体" w:hint="eastAsia"/>
                <w:sz w:val="24"/>
                <w:szCs w:val="24"/>
              </w:rPr>
              <w:t>︵</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作采</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品编</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简过</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介程</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 xml:space="preserve">  </w:t>
            </w:r>
            <w:r w:rsidRPr="00E81F95">
              <w:rPr>
                <w:rFonts w:ascii="仿宋_GB2312" w:eastAsia="宋体" w:hAnsi="宋体" w:cs="宋体" w:hint="eastAsia"/>
                <w:sz w:val="24"/>
                <w:szCs w:val="24"/>
              </w:rPr>
              <w:t>︶</w:t>
            </w:r>
          </w:p>
        </w:tc>
        <w:tc>
          <w:tcPr>
            <w:tcW w:w="8219" w:type="dxa"/>
            <w:gridSpan w:val="3"/>
            <w:vAlign w:val="center"/>
          </w:tcPr>
          <w:p w:rsidR="00C45DF3" w:rsidRPr="00E81F95" w:rsidRDefault="0076037E" w:rsidP="00E81F95">
            <w:pPr>
              <w:jc w:val="left"/>
              <w:rPr>
                <w:rFonts w:ascii="仿宋_GB2312" w:eastAsia="仿宋_GB2312" w:hint="eastAsia"/>
                <w:sz w:val="24"/>
                <w:szCs w:val="24"/>
              </w:rPr>
            </w:pPr>
            <w:r w:rsidRPr="00E81F95">
              <w:rPr>
                <w:rFonts w:ascii="仿宋_GB2312" w:eastAsia="仿宋_GB2312" w:hint="eastAsia"/>
                <w:sz w:val="24"/>
                <w:szCs w:val="24"/>
              </w:rPr>
              <w:t xml:space="preserve">    </w:t>
            </w:r>
            <w:r w:rsidR="003B17A5" w:rsidRPr="00E81F95">
              <w:rPr>
                <w:rFonts w:ascii="仿宋_GB2312" w:eastAsia="仿宋_GB2312" w:hint="eastAsia"/>
                <w:sz w:val="24"/>
                <w:szCs w:val="24"/>
              </w:rPr>
              <w:t>自党的二十大报告提出“推进教育数字化”的任务后，教育数字化转型迅速成为教育综合改革领域的热点话题，其热度持续至今。《福建教育》敏锐地捕捉到这一话题的重要性，在教育新闻期刊业界较早地策划了相关专题报道，从不同角度引导一线教育工作者关注和探讨这一话题。为了更好地发挥舆论共振效应，《福建教育》编辑部组织骨干力量，从宏观站位出发，撰写观点鲜明的深度评论文章——《人的发展是教育数字化转型的逻辑起点》，与专题报道文章形成呼应，对读者做出正确、有力的舆论引导。该作品最终在《福建教育》纸刊开篇栏目《卷首》重磅推出，并第一时间上线知网、维普等期刊数据库，通过媒介融合的方式扩大宣传影响力。</w:t>
            </w:r>
          </w:p>
        </w:tc>
      </w:tr>
      <w:tr w:rsidR="00C45DF3" w:rsidRPr="00E81F95" w:rsidTr="008A1CA5">
        <w:trPr>
          <w:cantSplit/>
          <w:trHeight w:hRule="exact" w:val="1996"/>
          <w:jc w:val="center"/>
        </w:trPr>
        <w:tc>
          <w:tcPr>
            <w:tcW w:w="1799"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社</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会</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效</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果</w:t>
            </w:r>
          </w:p>
        </w:tc>
        <w:tc>
          <w:tcPr>
            <w:tcW w:w="8219" w:type="dxa"/>
            <w:gridSpan w:val="3"/>
            <w:vAlign w:val="center"/>
          </w:tcPr>
          <w:p w:rsidR="00C45DF3" w:rsidRPr="00E81F95" w:rsidRDefault="008A1CA5" w:rsidP="00E81F95">
            <w:pPr>
              <w:jc w:val="left"/>
              <w:rPr>
                <w:rFonts w:ascii="仿宋_GB2312" w:eastAsia="仿宋_GB2312" w:hint="eastAsia"/>
                <w:sz w:val="24"/>
                <w:szCs w:val="24"/>
              </w:rPr>
            </w:pPr>
            <w:r w:rsidRPr="00E81F95">
              <w:rPr>
                <w:rFonts w:ascii="仿宋_GB2312" w:eastAsia="仿宋_GB2312" w:hint="eastAsia"/>
                <w:sz w:val="24"/>
                <w:szCs w:val="24"/>
              </w:rPr>
              <w:t xml:space="preserve">    </w:t>
            </w:r>
            <w:r w:rsidR="003B17A5" w:rsidRPr="00E81F95">
              <w:rPr>
                <w:rFonts w:ascii="仿宋_GB2312" w:eastAsia="仿宋_GB2312" w:hint="eastAsia"/>
                <w:sz w:val="24"/>
                <w:szCs w:val="24"/>
              </w:rPr>
              <w:t>该作品刊发后，知网下载量在有关教育数字化的新闻期刊评论中较突出，同时还在读者群中引发了广泛的关注和讨论，取得了积极正面的宣传效果。有不少读者在讨论中表示，该作品的观点不仅有助于一线教育工作者厘清对教育数字化转型本质的认识，而且为学校开展教育数字化实践探索提供了方向性的指引。</w:t>
            </w:r>
          </w:p>
        </w:tc>
      </w:tr>
      <w:tr w:rsidR="00C45DF3" w:rsidRPr="00E81F95" w:rsidTr="00E81F95">
        <w:trPr>
          <w:cantSplit/>
          <w:trHeight w:hRule="exact" w:val="4533"/>
          <w:jc w:val="center"/>
        </w:trPr>
        <w:tc>
          <w:tcPr>
            <w:tcW w:w="1799" w:type="dxa"/>
            <w:vAlign w:val="center"/>
          </w:tcPr>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 xml:space="preserve">  </w:t>
            </w:r>
            <w:r w:rsidRPr="00E81F95">
              <w:rPr>
                <w:rFonts w:ascii="仿宋_GB2312" w:eastAsia="宋体" w:hAnsi="宋体" w:cs="宋体" w:hint="eastAsia"/>
                <w:sz w:val="24"/>
                <w:szCs w:val="24"/>
              </w:rPr>
              <w:t>︵</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初推</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评荐</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评理</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语由</w:t>
            </w:r>
          </w:p>
          <w:p w:rsidR="00C45DF3" w:rsidRPr="00E81F95" w:rsidRDefault="003B17A5" w:rsidP="00E81F95">
            <w:pPr>
              <w:rPr>
                <w:rFonts w:ascii="仿宋_GB2312" w:eastAsia="仿宋_GB2312" w:hint="eastAsia"/>
                <w:sz w:val="24"/>
                <w:szCs w:val="24"/>
              </w:rPr>
            </w:pPr>
            <w:r w:rsidRPr="00E81F95">
              <w:rPr>
                <w:rFonts w:ascii="仿宋_GB2312" w:eastAsia="仿宋_GB2312" w:hint="eastAsia"/>
                <w:sz w:val="24"/>
                <w:szCs w:val="24"/>
              </w:rPr>
              <w:t xml:space="preserve">  </w:t>
            </w:r>
            <w:r w:rsidRPr="00E81F95">
              <w:rPr>
                <w:rFonts w:ascii="仿宋_GB2312" w:eastAsia="宋体" w:hAnsi="宋体" w:cs="宋体" w:hint="eastAsia"/>
                <w:sz w:val="24"/>
                <w:szCs w:val="24"/>
              </w:rPr>
              <w:t>︶</w:t>
            </w:r>
          </w:p>
        </w:tc>
        <w:tc>
          <w:tcPr>
            <w:tcW w:w="8219" w:type="dxa"/>
            <w:gridSpan w:val="3"/>
            <w:vAlign w:val="center"/>
          </w:tcPr>
          <w:p w:rsidR="00C45DF3" w:rsidRPr="00E81F95" w:rsidRDefault="00840C32" w:rsidP="00E81F95">
            <w:pPr>
              <w:jc w:val="left"/>
              <w:rPr>
                <w:rFonts w:ascii="仿宋_GB2312" w:eastAsia="仿宋_GB2312" w:hAnsi="华文中宋" w:hint="eastAsia"/>
                <w:color w:val="000000"/>
                <w:spacing w:val="-2"/>
                <w:sz w:val="24"/>
                <w:szCs w:val="24"/>
              </w:rPr>
            </w:pPr>
            <w:r w:rsidRPr="00E81F95">
              <w:rPr>
                <w:rFonts w:ascii="仿宋_GB2312" w:eastAsia="仿宋_GB2312" w:hint="eastAsia"/>
                <w:sz w:val="24"/>
                <w:szCs w:val="24"/>
              </w:rPr>
              <w:t xml:space="preserve">    </w:t>
            </w:r>
            <w:r w:rsidR="003B17A5" w:rsidRPr="00E81F95">
              <w:rPr>
                <w:rFonts w:ascii="仿宋_GB2312" w:eastAsia="仿宋_GB2312" w:hint="eastAsia"/>
                <w:sz w:val="24"/>
                <w:szCs w:val="24"/>
              </w:rPr>
              <w:t>教育数字化转型，是党的二十大报告提出的重大任务，是当前教育领域改革的实践热点。在当下的实践中，不少学校更关注技术的应用，而忽略了技术应用的目的性和人的主体性。该评论聚焦这一热点话题、现实问题，通过回归对“教育数字化转型是什么”“为什么要教育数字化转型”这些根本问题的探讨，鲜明地提出“教育数字化转型应以人的发展为根本遵循，让技术支撑和服务人的发展”的观点，引导一线教育工作者深刻认识教育数字化转型的内涵，明晰教育数字化转型的逻辑起点。该评论坚持正确政治方向，论证严密，引证权威论述，观点令人信服，有助于一线教育工作者从宏观上位、人本价值层面审视教育数字化问题，促进教育数字化的有效落实。</w:t>
            </w:r>
            <w:bookmarkStart w:id="0" w:name="_GoBack"/>
            <w:bookmarkEnd w:id="0"/>
          </w:p>
          <w:p w:rsidR="00840C32" w:rsidRPr="00E81F95" w:rsidRDefault="00840C32" w:rsidP="00E81F95">
            <w:pPr>
              <w:rPr>
                <w:rFonts w:ascii="仿宋_GB2312" w:eastAsia="仿宋_GB2312" w:hint="eastAsia"/>
                <w:sz w:val="24"/>
                <w:szCs w:val="24"/>
              </w:rPr>
            </w:pPr>
          </w:p>
          <w:p w:rsidR="00C45DF3" w:rsidRPr="00E81F95" w:rsidRDefault="0076037E" w:rsidP="00E81F95">
            <w:pPr>
              <w:rPr>
                <w:rFonts w:ascii="仿宋_GB2312" w:eastAsia="仿宋_GB2312" w:hint="eastAsia"/>
                <w:sz w:val="24"/>
                <w:szCs w:val="24"/>
              </w:rPr>
            </w:pPr>
            <w:r w:rsidRPr="00E81F95">
              <w:rPr>
                <w:rFonts w:ascii="仿宋_GB2312" w:eastAsia="仿宋_GB2312" w:hint="eastAsia"/>
                <w:sz w:val="24"/>
                <w:szCs w:val="24"/>
              </w:rPr>
              <w:t xml:space="preserve">                              </w:t>
            </w:r>
            <w:r w:rsidR="008A1CA5" w:rsidRPr="00E81F95">
              <w:rPr>
                <w:rFonts w:ascii="仿宋_GB2312" w:eastAsia="仿宋_GB2312" w:hint="eastAsia"/>
                <w:sz w:val="24"/>
                <w:szCs w:val="24"/>
              </w:rPr>
              <w:t xml:space="preserve">    </w:t>
            </w:r>
            <w:r w:rsidRPr="00E81F95">
              <w:rPr>
                <w:rFonts w:ascii="仿宋_GB2312" w:eastAsia="仿宋_GB2312" w:hint="eastAsia"/>
                <w:sz w:val="24"/>
                <w:szCs w:val="24"/>
              </w:rPr>
              <w:t xml:space="preserve"> </w:t>
            </w:r>
            <w:r w:rsidR="003B17A5" w:rsidRPr="00E81F95">
              <w:rPr>
                <w:rFonts w:ascii="仿宋_GB2312" w:eastAsia="仿宋_GB2312" w:hint="eastAsia"/>
                <w:sz w:val="24"/>
                <w:szCs w:val="24"/>
              </w:rPr>
              <w:t>签名：（盖单位公章）</w:t>
            </w:r>
          </w:p>
          <w:p w:rsidR="00C45DF3" w:rsidRPr="00E81F95" w:rsidRDefault="0076037E" w:rsidP="00E81F95">
            <w:pPr>
              <w:rPr>
                <w:rFonts w:ascii="仿宋_GB2312" w:eastAsia="仿宋_GB2312" w:hAnsi="仿宋" w:hint="eastAsia"/>
                <w:sz w:val="24"/>
                <w:szCs w:val="24"/>
              </w:rPr>
            </w:pPr>
            <w:r w:rsidRPr="00E81F95">
              <w:rPr>
                <w:rFonts w:ascii="仿宋_GB2312" w:eastAsia="仿宋_GB2312" w:hint="eastAsia"/>
                <w:sz w:val="24"/>
                <w:szCs w:val="24"/>
              </w:rPr>
              <w:t xml:space="preserve">                             </w:t>
            </w:r>
            <w:r w:rsidR="008A1CA5" w:rsidRPr="00E81F95">
              <w:rPr>
                <w:rFonts w:ascii="仿宋_GB2312" w:eastAsia="仿宋_GB2312" w:hint="eastAsia"/>
                <w:sz w:val="24"/>
                <w:szCs w:val="24"/>
              </w:rPr>
              <w:t xml:space="preserve">   </w:t>
            </w:r>
            <w:r w:rsidRPr="00E81F95">
              <w:rPr>
                <w:rFonts w:ascii="仿宋_GB2312" w:eastAsia="仿宋_GB2312" w:hint="eastAsia"/>
                <w:sz w:val="24"/>
                <w:szCs w:val="24"/>
              </w:rPr>
              <w:t xml:space="preserve">       </w:t>
            </w:r>
            <w:r w:rsidR="00A20F73" w:rsidRPr="00E81F95">
              <w:rPr>
                <w:rFonts w:ascii="仿宋_GB2312" w:eastAsia="仿宋_GB2312" w:hint="eastAsia"/>
                <w:sz w:val="24"/>
                <w:szCs w:val="24"/>
              </w:rPr>
              <w:t xml:space="preserve"> </w:t>
            </w:r>
            <w:r w:rsidR="003B17A5" w:rsidRPr="00E81F95">
              <w:rPr>
                <w:rFonts w:ascii="仿宋_GB2312" w:eastAsia="仿宋_GB2312" w:hint="eastAsia"/>
                <w:sz w:val="24"/>
                <w:szCs w:val="24"/>
              </w:rPr>
              <w:t>2024年</w:t>
            </w:r>
            <w:r w:rsidR="00A20F73" w:rsidRPr="00E81F95">
              <w:rPr>
                <w:rFonts w:ascii="仿宋_GB2312" w:eastAsia="仿宋_GB2312" w:hint="eastAsia"/>
                <w:sz w:val="24"/>
                <w:szCs w:val="24"/>
              </w:rPr>
              <w:t>3</w:t>
            </w:r>
            <w:r w:rsidR="003B17A5" w:rsidRPr="00E81F95">
              <w:rPr>
                <w:rFonts w:ascii="仿宋_GB2312" w:eastAsia="仿宋_GB2312" w:hint="eastAsia"/>
                <w:sz w:val="24"/>
                <w:szCs w:val="24"/>
              </w:rPr>
              <w:t>月</w:t>
            </w:r>
            <w:r w:rsidR="00A20F73" w:rsidRPr="00E81F95">
              <w:rPr>
                <w:rFonts w:ascii="仿宋_GB2312" w:eastAsia="仿宋_GB2312" w:hint="eastAsia"/>
                <w:sz w:val="24"/>
                <w:szCs w:val="24"/>
              </w:rPr>
              <w:t>18</w:t>
            </w:r>
            <w:r w:rsidR="003B17A5" w:rsidRPr="00E81F95">
              <w:rPr>
                <w:rFonts w:ascii="仿宋_GB2312" w:eastAsia="仿宋_GB2312" w:hint="eastAsia"/>
                <w:sz w:val="24"/>
                <w:szCs w:val="24"/>
              </w:rPr>
              <w:t>日</w:t>
            </w:r>
          </w:p>
        </w:tc>
      </w:tr>
    </w:tbl>
    <w:p w:rsidR="00C45DF3" w:rsidRDefault="00C45DF3" w:rsidP="00E81F95"/>
    <w:sectPr w:rsidR="00C45DF3" w:rsidSect="00840C32">
      <w:pgSz w:w="11906" w:h="16838"/>
      <w:pgMar w:top="568" w:right="312" w:bottom="306" w:left="22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C2F" w:rsidRDefault="00557C2F" w:rsidP="00E81F95">
      <w:r>
        <w:separator/>
      </w:r>
    </w:p>
  </w:endnote>
  <w:endnote w:type="continuationSeparator" w:id="1">
    <w:p w:rsidR="00557C2F" w:rsidRDefault="00557C2F" w:rsidP="00E81F9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C2F" w:rsidRDefault="00557C2F" w:rsidP="00E81F95">
      <w:r>
        <w:separator/>
      </w:r>
    </w:p>
  </w:footnote>
  <w:footnote w:type="continuationSeparator" w:id="1">
    <w:p w:rsidR="00557C2F" w:rsidRDefault="00557C2F" w:rsidP="00E81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JkM2Q3Y2Q5MjNkMmIzZmFkNzdlNTg3NTZiZTlhNGQifQ=="/>
  </w:docVars>
  <w:rsids>
    <w:rsidRoot w:val="00BD68CE"/>
    <w:rsid w:val="000C1C3D"/>
    <w:rsid w:val="00194629"/>
    <w:rsid w:val="003B17A5"/>
    <w:rsid w:val="00557C2F"/>
    <w:rsid w:val="0076037E"/>
    <w:rsid w:val="00840C32"/>
    <w:rsid w:val="008A1CA5"/>
    <w:rsid w:val="008F4798"/>
    <w:rsid w:val="00A20F73"/>
    <w:rsid w:val="00BD68CE"/>
    <w:rsid w:val="00C13B31"/>
    <w:rsid w:val="00C45DF3"/>
    <w:rsid w:val="00E81F95"/>
    <w:rsid w:val="1C49678E"/>
    <w:rsid w:val="1C775D5E"/>
    <w:rsid w:val="2BBC44EC"/>
    <w:rsid w:val="36243CD5"/>
    <w:rsid w:val="45293050"/>
    <w:rsid w:val="4A143E65"/>
    <w:rsid w:val="5AEE74A6"/>
    <w:rsid w:val="5EAC3900"/>
    <w:rsid w:val="6257522C"/>
    <w:rsid w:val="6A084FF3"/>
    <w:rsid w:val="75661E6A"/>
    <w:rsid w:val="7DAB49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81F95"/>
    <w:pPr>
      <w:widowControl w:val="0"/>
      <w:spacing w:line="360" w:lineRule="exact"/>
      <w:jc w:val="center"/>
    </w:pPr>
    <w:rPr>
      <w:rFonts w:ascii="楷体_GB2312" w:eastAsia="楷体_GB2312"/>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1C3D"/>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3"/>
    <w:uiPriority w:val="99"/>
    <w:semiHidden/>
    <w:rsid w:val="000C1C3D"/>
    <w:rPr>
      <w:rFonts w:eastAsia="仿宋_GB2312"/>
      <w:kern w:val="2"/>
      <w:sz w:val="18"/>
      <w:szCs w:val="18"/>
    </w:rPr>
  </w:style>
  <w:style w:type="paragraph" w:styleId="a4">
    <w:name w:val="footer"/>
    <w:basedOn w:val="a"/>
    <w:link w:val="Char0"/>
    <w:uiPriority w:val="99"/>
    <w:semiHidden/>
    <w:unhideWhenUsed/>
    <w:rsid w:val="000C1C3D"/>
    <w:pPr>
      <w:tabs>
        <w:tab w:val="center" w:pos="4153"/>
        <w:tab w:val="right" w:pos="8306"/>
      </w:tabs>
      <w:snapToGrid w:val="0"/>
    </w:pPr>
    <w:rPr>
      <w:sz w:val="18"/>
      <w:szCs w:val="18"/>
    </w:rPr>
  </w:style>
  <w:style w:type="character" w:customStyle="1" w:styleId="Char0">
    <w:name w:val="页脚 Char"/>
    <w:basedOn w:val="a0"/>
    <w:link w:val="a4"/>
    <w:uiPriority w:val="99"/>
    <w:semiHidden/>
    <w:rsid w:val="000C1C3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0FCB-A541-40B5-99C5-07A34F7E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cp:lastPrinted>2024-03-15T10:30:00Z</cp:lastPrinted>
  <dcterms:created xsi:type="dcterms:W3CDTF">2023-05-16T03:25:00Z</dcterms:created>
  <dcterms:modified xsi:type="dcterms:W3CDTF">2024-03-18T07:34:00Z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AA29EDBE0EDB43AA9680F4C7C625EE65_13</vt:lpwstr>
  </property>
</Properties>
</file>